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0A" w:rsidRPr="002F550A" w:rsidRDefault="002F550A" w:rsidP="002F550A">
      <w:pPr>
        <w:pStyle w:val="FL"/>
        <w:tabs>
          <w:tab w:val="right" w:pos="360"/>
          <w:tab w:val="left" w:pos="540"/>
        </w:tabs>
        <w:spacing w:line="240" w:lineRule="exact"/>
        <w:jc w:val="left"/>
        <w:rPr>
          <w:rFonts w:ascii="Arial" w:hAnsi="Arial" w:cs="Arial"/>
          <w:sz w:val="18"/>
          <w:szCs w:val="18"/>
        </w:rPr>
      </w:pPr>
      <w:r w:rsidRPr="002F550A">
        <w:rPr>
          <w:rFonts w:ascii="Arial" w:hAnsi="Arial" w:cs="Arial"/>
          <w:sz w:val="18"/>
          <w:szCs w:val="18"/>
        </w:rPr>
        <w:t xml:space="preserve">Table </w:t>
      </w:r>
      <w:r w:rsidR="00A26092">
        <w:rPr>
          <w:rFonts w:ascii="Arial" w:hAnsi="Arial" w:cs="Arial"/>
          <w:sz w:val="18"/>
          <w:szCs w:val="18"/>
        </w:rPr>
        <w:t>IIa</w:t>
      </w:r>
      <w:r w:rsidRPr="002F550A">
        <w:rPr>
          <w:rFonts w:ascii="Arial" w:hAnsi="Arial" w:cs="Arial"/>
          <w:sz w:val="18"/>
          <w:szCs w:val="18"/>
        </w:rPr>
        <w:t>. Parenteral anticoagulant medications used in pediatric thrombosis</w:t>
      </w:r>
    </w:p>
    <w:p w:rsidR="002F550A" w:rsidRPr="002F550A" w:rsidRDefault="002F550A" w:rsidP="002F550A">
      <w:pPr>
        <w:pStyle w:val="FL"/>
        <w:tabs>
          <w:tab w:val="right" w:pos="360"/>
          <w:tab w:val="left" w:pos="540"/>
        </w:tabs>
        <w:spacing w:line="240" w:lineRule="exact"/>
        <w:ind w:left="540" w:hanging="540"/>
        <w:jc w:val="left"/>
        <w:rPr>
          <w:rFonts w:ascii="Arial" w:hAnsi="Arial" w:cs="Arial"/>
          <w:sz w:val="18"/>
          <w:szCs w:val="18"/>
        </w:rPr>
      </w:pPr>
    </w:p>
    <w:tbl>
      <w:tblPr>
        <w:tblW w:w="1009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2022"/>
        <w:gridCol w:w="2591"/>
        <w:gridCol w:w="1639"/>
        <w:gridCol w:w="2150"/>
      </w:tblGrid>
      <w:tr w:rsidR="002F550A" w:rsidRPr="002F550A" w:rsidTr="00D91C5A">
        <w:tc>
          <w:tcPr>
            <w:tcW w:w="1696" w:type="dxa"/>
          </w:tcPr>
          <w:p w:rsidR="002F550A" w:rsidRPr="002F550A" w:rsidRDefault="002F550A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F550A">
              <w:rPr>
                <w:rFonts w:ascii="Arial" w:hAnsi="Arial" w:cs="Arial"/>
                <w:b/>
                <w:sz w:val="18"/>
                <w:szCs w:val="18"/>
              </w:rPr>
              <w:t>Drug</w:t>
            </w:r>
          </w:p>
        </w:tc>
        <w:tc>
          <w:tcPr>
            <w:tcW w:w="2022" w:type="dxa"/>
          </w:tcPr>
          <w:p w:rsidR="002F550A" w:rsidRPr="002F550A" w:rsidRDefault="002F550A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F550A">
              <w:rPr>
                <w:rFonts w:ascii="Arial" w:hAnsi="Arial" w:cs="Arial"/>
                <w:b/>
                <w:sz w:val="18"/>
                <w:szCs w:val="18"/>
              </w:rPr>
              <w:t>Treatment Dose</w:t>
            </w:r>
          </w:p>
        </w:tc>
        <w:tc>
          <w:tcPr>
            <w:tcW w:w="2591" w:type="dxa"/>
          </w:tcPr>
          <w:p w:rsidR="002F550A" w:rsidRPr="002F550A" w:rsidRDefault="002F550A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F550A">
              <w:rPr>
                <w:rFonts w:ascii="Arial" w:hAnsi="Arial" w:cs="Arial"/>
                <w:b/>
                <w:sz w:val="18"/>
                <w:szCs w:val="18"/>
              </w:rPr>
              <w:t>Monitoring</w:t>
            </w:r>
          </w:p>
        </w:tc>
        <w:tc>
          <w:tcPr>
            <w:tcW w:w="1639" w:type="dxa"/>
          </w:tcPr>
          <w:p w:rsidR="002F550A" w:rsidRPr="002F550A" w:rsidRDefault="002F550A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F550A">
              <w:rPr>
                <w:rFonts w:ascii="Arial" w:hAnsi="Arial" w:cs="Arial"/>
                <w:b/>
                <w:sz w:val="18"/>
                <w:szCs w:val="18"/>
              </w:rPr>
              <w:t>Mechanism</w:t>
            </w:r>
          </w:p>
        </w:tc>
        <w:tc>
          <w:tcPr>
            <w:tcW w:w="2150" w:type="dxa"/>
          </w:tcPr>
          <w:p w:rsidR="002F550A" w:rsidRPr="002F550A" w:rsidRDefault="002F550A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F550A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2F550A" w:rsidRPr="002F550A" w:rsidTr="00D91C5A">
        <w:tc>
          <w:tcPr>
            <w:tcW w:w="1696" w:type="dxa"/>
          </w:tcPr>
          <w:p w:rsidR="002F550A" w:rsidRPr="002F550A" w:rsidRDefault="002F550A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2F550A">
              <w:rPr>
                <w:rFonts w:ascii="Arial" w:hAnsi="Arial" w:cs="Arial"/>
                <w:b/>
                <w:sz w:val="18"/>
                <w:szCs w:val="18"/>
              </w:rPr>
              <w:t>Parenteral anticoagulants</w:t>
            </w:r>
          </w:p>
        </w:tc>
        <w:tc>
          <w:tcPr>
            <w:tcW w:w="2022" w:type="dxa"/>
          </w:tcPr>
          <w:p w:rsidR="002F550A" w:rsidRPr="002F550A" w:rsidRDefault="002F550A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1" w:type="dxa"/>
          </w:tcPr>
          <w:p w:rsidR="002F550A" w:rsidRPr="002F550A" w:rsidRDefault="002F550A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9" w:type="dxa"/>
          </w:tcPr>
          <w:p w:rsidR="002F550A" w:rsidRPr="002F550A" w:rsidRDefault="002F550A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</w:tcPr>
          <w:p w:rsidR="002F550A" w:rsidRPr="002F550A" w:rsidRDefault="002F550A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550A">
              <w:rPr>
                <w:rFonts w:ascii="Arial" w:hAnsi="Arial" w:cs="Arial"/>
                <w:sz w:val="18"/>
                <w:szCs w:val="18"/>
              </w:rPr>
              <w:t>All patients with new thrombosis should initiate therapy immediately with a parenteral anticoagulant</w:t>
            </w:r>
            <w:r w:rsidR="00A2609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F550A" w:rsidRPr="002F550A" w:rsidTr="00D91C5A">
        <w:tc>
          <w:tcPr>
            <w:tcW w:w="1696" w:type="dxa"/>
          </w:tcPr>
          <w:p w:rsidR="002F550A" w:rsidRPr="002F550A" w:rsidRDefault="002F550A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550A">
              <w:rPr>
                <w:rFonts w:ascii="Arial" w:hAnsi="Arial" w:cs="Arial"/>
                <w:sz w:val="18"/>
                <w:szCs w:val="18"/>
              </w:rPr>
              <w:t>Unfractionated heparin</w:t>
            </w:r>
          </w:p>
        </w:tc>
        <w:tc>
          <w:tcPr>
            <w:tcW w:w="2022" w:type="dxa"/>
          </w:tcPr>
          <w:p w:rsidR="002F550A" w:rsidRPr="002F550A" w:rsidRDefault="002F550A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550A">
              <w:rPr>
                <w:rFonts w:ascii="Arial" w:hAnsi="Arial" w:cs="Arial"/>
                <w:sz w:val="18"/>
                <w:szCs w:val="18"/>
              </w:rPr>
              <w:t>Initial dose of 75 U/kg IV over 10 minutes followed by a maintenance IV infusion of 20 U/kg/hour in patients older than 1 year.</w:t>
            </w:r>
          </w:p>
          <w:p w:rsidR="002F550A" w:rsidRPr="002F550A" w:rsidRDefault="002F550A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550A">
              <w:rPr>
                <w:rFonts w:ascii="Arial" w:hAnsi="Arial" w:cs="Arial"/>
                <w:sz w:val="18"/>
                <w:szCs w:val="18"/>
              </w:rPr>
              <w:t>Patients younger than 1 year get the same initial bolus followed by 28 U/kg/hour IV infusion</w:t>
            </w:r>
          </w:p>
        </w:tc>
        <w:tc>
          <w:tcPr>
            <w:tcW w:w="2591" w:type="dxa"/>
          </w:tcPr>
          <w:p w:rsidR="002F550A" w:rsidRPr="002F550A" w:rsidRDefault="002F550A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550A">
              <w:rPr>
                <w:rFonts w:ascii="Arial" w:hAnsi="Arial" w:cs="Arial"/>
                <w:sz w:val="18"/>
                <w:szCs w:val="18"/>
              </w:rPr>
              <w:t>Titrate infusion rate to a target aPTT of 60-85 seconds</w:t>
            </w:r>
          </w:p>
        </w:tc>
        <w:tc>
          <w:tcPr>
            <w:tcW w:w="1639" w:type="dxa"/>
          </w:tcPr>
          <w:p w:rsidR="002F550A" w:rsidRPr="002F550A" w:rsidRDefault="002F550A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550A">
              <w:rPr>
                <w:rFonts w:ascii="Arial" w:hAnsi="Arial" w:cs="Arial"/>
                <w:sz w:val="18"/>
                <w:szCs w:val="18"/>
              </w:rPr>
              <w:t>Augments activity of antithrombin and prevents conversion of fibrinogen to fibrin</w:t>
            </w:r>
          </w:p>
        </w:tc>
        <w:tc>
          <w:tcPr>
            <w:tcW w:w="2150" w:type="dxa"/>
          </w:tcPr>
          <w:p w:rsidR="002F550A" w:rsidRPr="002F550A" w:rsidRDefault="002F550A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550A">
              <w:rPr>
                <w:rFonts w:ascii="Arial" w:hAnsi="Arial" w:cs="Arial"/>
                <w:sz w:val="18"/>
                <w:szCs w:val="18"/>
              </w:rPr>
              <w:t>Rarely used in settings where low molecular weight heparin is available due to the need for frequent monitoring and dose adjustments and the 5-10 fold higher risk of heparin-induced thrombocytopenia with unfractionated heparin.</w:t>
            </w:r>
          </w:p>
        </w:tc>
      </w:tr>
      <w:tr w:rsidR="002F550A" w:rsidRPr="002F550A" w:rsidTr="00D91C5A">
        <w:tc>
          <w:tcPr>
            <w:tcW w:w="1696" w:type="dxa"/>
          </w:tcPr>
          <w:p w:rsidR="002F550A" w:rsidRPr="002F550A" w:rsidRDefault="002F550A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550A">
              <w:rPr>
                <w:rFonts w:ascii="Arial" w:hAnsi="Arial" w:cs="Arial"/>
                <w:sz w:val="18"/>
                <w:szCs w:val="18"/>
              </w:rPr>
              <w:t>Enoxaparin (Lovenox</w:t>
            </w:r>
            <w:r w:rsidR="00A26092">
              <w:rPr>
                <w:rFonts w:ascii="Arial" w:hAnsi="Arial" w:cs="Arial"/>
                <w:sz w:val="18"/>
                <w:szCs w:val="18"/>
              </w:rPr>
              <w:t>®</w:t>
            </w:r>
            <w:r w:rsidRPr="002F550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22" w:type="dxa"/>
          </w:tcPr>
          <w:p w:rsidR="002F550A" w:rsidRPr="002F550A" w:rsidRDefault="002F550A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550A">
              <w:rPr>
                <w:rFonts w:ascii="Arial" w:hAnsi="Arial" w:cs="Arial"/>
                <w:sz w:val="18"/>
                <w:szCs w:val="18"/>
              </w:rPr>
              <w:t>1 mg/kg/dose every 12 hours or 1.5 mg/kg/dose every 24 hours</w:t>
            </w:r>
          </w:p>
          <w:p w:rsidR="002F550A" w:rsidRPr="002F550A" w:rsidRDefault="002F550A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550A">
              <w:rPr>
                <w:rFonts w:ascii="Arial" w:hAnsi="Arial" w:cs="Arial"/>
                <w:sz w:val="18"/>
                <w:szCs w:val="18"/>
              </w:rPr>
              <w:t>Patients younger than 2 months need approximately 50% more per dose and should receive the q 12 hour schedule</w:t>
            </w:r>
          </w:p>
        </w:tc>
        <w:tc>
          <w:tcPr>
            <w:tcW w:w="2591" w:type="dxa"/>
          </w:tcPr>
          <w:p w:rsidR="002F550A" w:rsidRPr="002F550A" w:rsidRDefault="002F550A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550A">
              <w:rPr>
                <w:rFonts w:ascii="Arial" w:hAnsi="Arial" w:cs="Arial"/>
                <w:sz w:val="18"/>
                <w:szCs w:val="18"/>
              </w:rPr>
              <w:t>Measurement of anti-Factor Xa activity with a target of 0.5 to 1 U/mL at 4 hours after the dose</w:t>
            </w:r>
          </w:p>
        </w:tc>
        <w:tc>
          <w:tcPr>
            <w:tcW w:w="1639" w:type="dxa"/>
          </w:tcPr>
          <w:p w:rsidR="002F550A" w:rsidRPr="002F550A" w:rsidRDefault="002F550A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550A">
              <w:rPr>
                <w:rFonts w:ascii="Arial" w:hAnsi="Arial" w:cs="Arial"/>
                <w:sz w:val="18"/>
                <w:szCs w:val="18"/>
              </w:rPr>
              <w:t>Augments activity of antithrombin and thus inhibits Factor Xa</w:t>
            </w:r>
          </w:p>
        </w:tc>
        <w:tc>
          <w:tcPr>
            <w:tcW w:w="2150" w:type="dxa"/>
          </w:tcPr>
          <w:p w:rsidR="002F550A" w:rsidRPr="002F550A" w:rsidRDefault="002F550A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550A" w:rsidRPr="002F550A" w:rsidTr="00D91C5A">
        <w:tc>
          <w:tcPr>
            <w:tcW w:w="1696" w:type="dxa"/>
          </w:tcPr>
          <w:p w:rsidR="002F550A" w:rsidRPr="002F550A" w:rsidRDefault="002F550A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550A">
              <w:rPr>
                <w:rFonts w:ascii="Arial" w:hAnsi="Arial" w:cs="Arial"/>
                <w:sz w:val="18"/>
                <w:szCs w:val="18"/>
              </w:rPr>
              <w:t>Dalteparin (Fragmin</w:t>
            </w:r>
            <w:r w:rsidR="00A26092">
              <w:rPr>
                <w:rFonts w:ascii="Arial" w:hAnsi="Arial" w:cs="Arial"/>
                <w:sz w:val="18"/>
                <w:szCs w:val="18"/>
              </w:rPr>
              <w:t>®</w:t>
            </w:r>
            <w:r w:rsidRPr="002F550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22" w:type="dxa"/>
          </w:tcPr>
          <w:p w:rsidR="002F550A" w:rsidRPr="002F550A" w:rsidRDefault="002F550A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550A">
              <w:rPr>
                <w:rFonts w:ascii="Arial" w:hAnsi="Arial" w:cs="Arial"/>
                <w:sz w:val="18"/>
                <w:szCs w:val="18"/>
              </w:rPr>
              <w:t>100 IU/kg/dose every 12 hours or 200 IU/kg/dose every 24 hours</w:t>
            </w:r>
          </w:p>
        </w:tc>
        <w:tc>
          <w:tcPr>
            <w:tcW w:w="2591" w:type="dxa"/>
          </w:tcPr>
          <w:p w:rsidR="002F550A" w:rsidRPr="002F550A" w:rsidRDefault="002F550A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550A">
              <w:rPr>
                <w:rFonts w:ascii="Arial" w:hAnsi="Arial" w:cs="Arial"/>
                <w:sz w:val="18"/>
                <w:szCs w:val="18"/>
              </w:rPr>
              <w:t>Measurement of anti-Factor Xa activity with a target of 0.5 to 1 U/mL at 4 hours after the dose</w:t>
            </w:r>
          </w:p>
        </w:tc>
        <w:tc>
          <w:tcPr>
            <w:tcW w:w="1639" w:type="dxa"/>
          </w:tcPr>
          <w:p w:rsidR="002F550A" w:rsidRPr="002F550A" w:rsidRDefault="002F550A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550A">
              <w:rPr>
                <w:rFonts w:ascii="Arial" w:hAnsi="Arial" w:cs="Arial"/>
                <w:sz w:val="18"/>
                <w:szCs w:val="18"/>
              </w:rPr>
              <w:t>Augments activity of antithrombin and thus inhibits Factor Xa</w:t>
            </w:r>
          </w:p>
        </w:tc>
        <w:tc>
          <w:tcPr>
            <w:tcW w:w="2150" w:type="dxa"/>
          </w:tcPr>
          <w:p w:rsidR="002F550A" w:rsidRPr="002F550A" w:rsidRDefault="002F550A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550A">
              <w:rPr>
                <w:rFonts w:ascii="Arial" w:hAnsi="Arial" w:cs="Arial"/>
                <w:sz w:val="18"/>
                <w:szCs w:val="18"/>
              </w:rPr>
              <w:t>Extended treatment in cancer patients is given at 150 IU/kg daily after 1 month at the treatment dose (with special precautions during periods of thrombocytopenia)</w:t>
            </w:r>
            <w:r w:rsidR="00A26092">
              <w:rPr>
                <w:rFonts w:ascii="Arial" w:hAnsi="Arial" w:cs="Arial"/>
                <w:sz w:val="18"/>
                <w:szCs w:val="18"/>
              </w:rPr>
              <w:t>.</w:t>
            </w:r>
            <w:bookmarkStart w:id="0" w:name="_GoBack"/>
            <w:bookmarkEnd w:id="0"/>
          </w:p>
        </w:tc>
      </w:tr>
      <w:tr w:rsidR="002F550A" w:rsidRPr="002F550A" w:rsidTr="00D91C5A">
        <w:tc>
          <w:tcPr>
            <w:tcW w:w="1696" w:type="dxa"/>
          </w:tcPr>
          <w:p w:rsidR="002F550A" w:rsidRPr="002F550A" w:rsidRDefault="002F550A" w:rsidP="00A26092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550A">
              <w:rPr>
                <w:rFonts w:ascii="Arial" w:hAnsi="Arial" w:cs="Arial"/>
                <w:sz w:val="18"/>
                <w:szCs w:val="18"/>
              </w:rPr>
              <w:t>Fondaparinux (Arixtra</w:t>
            </w:r>
            <w:r w:rsidR="00A26092">
              <w:rPr>
                <w:rFonts w:ascii="Arial" w:hAnsi="Arial" w:cs="Arial"/>
                <w:sz w:val="18"/>
                <w:szCs w:val="18"/>
              </w:rPr>
              <w:t>®</w:t>
            </w:r>
            <w:r w:rsidRPr="002F550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22" w:type="dxa"/>
          </w:tcPr>
          <w:p w:rsidR="002F550A" w:rsidRPr="002F550A" w:rsidRDefault="002F550A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F550A">
              <w:rPr>
                <w:rFonts w:ascii="Arial" w:hAnsi="Arial" w:cs="Arial"/>
                <w:sz w:val="18"/>
                <w:szCs w:val="18"/>
              </w:rPr>
              <w:t>Adult dosing is based on weight category: &lt;50 kg: 5 mg daily; 50-100 kg: 7.5 mg daily; &gt;100 kg: 10 mg daily.</w:t>
            </w:r>
          </w:p>
          <w:p w:rsidR="002F550A" w:rsidRPr="002F550A" w:rsidRDefault="002F550A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2F550A">
              <w:rPr>
                <w:rFonts w:ascii="Arial" w:hAnsi="Arial" w:cs="Arial"/>
                <w:sz w:val="18"/>
                <w:szCs w:val="18"/>
              </w:rPr>
              <w:t>Pediatric dosing is not well established, but 0.1 mg/kg has been successfully used.</w:t>
            </w:r>
          </w:p>
        </w:tc>
        <w:tc>
          <w:tcPr>
            <w:tcW w:w="2591" w:type="dxa"/>
          </w:tcPr>
          <w:p w:rsidR="002F550A" w:rsidRPr="002F550A" w:rsidRDefault="002F550A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550A">
              <w:rPr>
                <w:rFonts w:ascii="Arial" w:hAnsi="Arial" w:cs="Arial"/>
                <w:sz w:val="18"/>
                <w:szCs w:val="18"/>
              </w:rPr>
              <w:t>Measurement of anti-Factor Xa activity with a target of 0.5 to 1.2 mg/L at 4 hours after the dose</w:t>
            </w:r>
          </w:p>
        </w:tc>
        <w:tc>
          <w:tcPr>
            <w:tcW w:w="1639" w:type="dxa"/>
          </w:tcPr>
          <w:p w:rsidR="002F550A" w:rsidRPr="002F550A" w:rsidRDefault="002F550A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F550A">
              <w:rPr>
                <w:rFonts w:ascii="Arial" w:hAnsi="Arial" w:cs="Arial"/>
                <w:sz w:val="18"/>
                <w:szCs w:val="18"/>
              </w:rPr>
              <w:t>Augments activity of antithrombin and thus inhibits Factor Xa</w:t>
            </w:r>
          </w:p>
        </w:tc>
        <w:tc>
          <w:tcPr>
            <w:tcW w:w="2150" w:type="dxa"/>
          </w:tcPr>
          <w:p w:rsidR="002F550A" w:rsidRPr="002F550A" w:rsidRDefault="002F550A" w:rsidP="00D91C5A">
            <w:pPr>
              <w:pStyle w:val="FL"/>
              <w:tabs>
                <w:tab w:val="right" w:pos="360"/>
                <w:tab w:val="left" w:pos="540"/>
              </w:tabs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5796D" w:rsidRDefault="00B5796D" w:rsidP="002F550A"/>
    <w:sectPr w:rsidR="00B579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0A"/>
    <w:rsid w:val="00114605"/>
    <w:rsid w:val="002F550A"/>
    <w:rsid w:val="00676130"/>
    <w:rsid w:val="00A26092"/>
    <w:rsid w:val="00B5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0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">
    <w:name w:val="FL"/>
    <w:basedOn w:val="Normal"/>
    <w:uiPriority w:val="99"/>
    <w:rsid w:val="002F550A"/>
    <w:pPr>
      <w:keepLines/>
      <w:spacing w:after="0" w:line="220" w:lineRule="exact"/>
      <w:jc w:val="both"/>
    </w:pPr>
    <w:rPr>
      <w:rFonts w:ascii="Times" w:eastAsia="Times New Roman" w:hAnsi="Times" w:cs="Times"/>
      <w:noProof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0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">
    <w:name w:val="FL"/>
    <w:basedOn w:val="Normal"/>
    <w:uiPriority w:val="99"/>
    <w:rsid w:val="002F550A"/>
    <w:pPr>
      <w:keepLines/>
      <w:spacing w:after="0" w:line="220" w:lineRule="exact"/>
      <w:jc w:val="both"/>
    </w:pPr>
    <w:rPr>
      <w:rFonts w:ascii="Times" w:eastAsia="Times New Roman" w:hAnsi="Times" w:cs="Times"/>
      <w:noProof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2012-06-28T00:23:00Z</dcterms:created>
  <dcterms:modified xsi:type="dcterms:W3CDTF">2012-06-28T00:23:00Z</dcterms:modified>
</cp:coreProperties>
</file>